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9F" w:rsidRDefault="004A3A9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A3A9F" w:rsidRDefault="004A3A9F">
      <w:pPr>
        <w:pStyle w:val="ConsPlusNormal"/>
        <w:jc w:val="both"/>
        <w:outlineLvl w:val="0"/>
      </w:pPr>
    </w:p>
    <w:p w:rsidR="004A3A9F" w:rsidRDefault="004A3A9F">
      <w:pPr>
        <w:pStyle w:val="ConsPlusNormal"/>
        <w:jc w:val="right"/>
      </w:pPr>
      <w:r>
        <w:t>Утверждаю</w:t>
      </w:r>
    </w:p>
    <w:p w:rsidR="004A3A9F" w:rsidRDefault="004A3A9F">
      <w:pPr>
        <w:pStyle w:val="ConsPlusNormal"/>
        <w:jc w:val="right"/>
      </w:pPr>
      <w:r>
        <w:t>Заместитель Министра просвещения</w:t>
      </w:r>
    </w:p>
    <w:p w:rsidR="004A3A9F" w:rsidRDefault="004A3A9F">
      <w:pPr>
        <w:pStyle w:val="ConsPlusNormal"/>
        <w:jc w:val="right"/>
      </w:pPr>
      <w:r>
        <w:t>Российской Федерации</w:t>
      </w:r>
    </w:p>
    <w:p w:rsidR="004A3A9F" w:rsidRDefault="004A3A9F">
      <w:pPr>
        <w:pStyle w:val="ConsPlusNormal"/>
        <w:jc w:val="right"/>
      </w:pPr>
      <w:r>
        <w:t>Д.Е.ГРИБОВ</w:t>
      </w:r>
    </w:p>
    <w:p w:rsidR="004A3A9F" w:rsidRDefault="004A3A9F">
      <w:pPr>
        <w:pStyle w:val="ConsPlusNormal"/>
        <w:jc w:val="right"/>
      </w:pPr>
      <w:r>
        <w:t>5 апреля 2021 г. N ДГ-38/06вн</w:t>
      </w:r>
    </w:p>
    <w:p w:rsidR="004A3A9F" w:rsidRDefault="004A3A9F">
      <w:pPr>
        <w:pStyle w:val="ConsPlusNormal"/>
        <w:jc w:val="both"/>
      </w:pPr>
    </w:p>
    <w:p w:rsidR="004A3A9F" w:rsidRDefault="004A3A9F">
      <w:pPr>
        <w:pStyle w:val="ConsPlusTitle"/>
        <w:jc w:val="center"/>
      </w:pPr>
      <w:r>
        <w:t>МЕТОДИЧЕСКИЕ РЕКОМЕНДАЦИИ</w:t>
      </w:r>
    </w:p>
    <w:p w:rsidR="004A3A9F" w:rsidRDefault="004A3A9F">
      <w:pPr>
        <w:pStyle w:val="ConsPlusTitle"/>
        <w:jc w:val="center"/>
      </w:pPr>
      <w:r>
        <w:t>ПО ВОПРОСАМ ПОДГОТОВКИ К ПРОВЕДЕНИЮ ЛЕТНЕЙ ОЗДОРОВИТЕЛЬНОЙ</w:t>
      </w:r>
    </w:p>
    <w:p w:rsidR="004A3A9F" w:rsidRDefault="004A3A9F">
      <w:pPr>
        <w:pStyle w:val="ConsPlusTitle"/>
        <w:jc w:val="center"/>
      </w:pPr>
      <w:r>
        <w:t>КАМПАНИИ 2021 ГОДА</w:t>
      </w:r>
    </w:p>
    <w:p w:rsidR="004A3A9F" w:rsidRDefault="004A3A9F">
      <w:pPr>
        <w:pStyle w:val="ConsPlusNormal"/>
        <w:jc w:val="both"/>
      </w:pPr>
    </w:p>
    <w:p w:rsidR="004A3A9F" w:rsidRDefault="004A3A9F">
      <w:pPr>
        <w:pStyle w:val="ConsPlusNormal"/>
        <w:ind w:firstLine="540"/>
        <w:jc w:val="both"/>
      </w:pPr>
      <w:r>
        <w:t xml:space="preserve">Настоящие рекомендации разработаны в целях подготовки уполномоченных органов исполнительной власти субъектов Российской Федерации в сфере </w:t>
      </w:r>
      <w:hyperlink r:id="rId6" w:history="1">
        <w:r>
          <w:rPr>
            <w:color w:val="0000FF"/>
          </w:rPr>
          <w:t>организации</w:t>
        </w:r>
      </w:hyperlink>
      <w:r>
        <w:t xml:space="preserve"> отдыха и оздоровления детей (далее - уполномоченные органы) к организации и проведению мероприятий по отдыху и оздоровлению детей (далее - оздоровительная кампания) в 2021 году, а также для руководства в работе межведомственных комиссий по вопросам организации отдыха и оздоровления детей (далее - МВК).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В субъекты Российской Федерации направлены следующие методические рекомендации и разъяснения по вопросам организации отдыха и оздоровления детей, положения которых являются актуальными и могут быть использованы в работе при подготовке к оздоровительной кампании 2021 года: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О направлении рекомендаций по порядку действий в случае закрытия несанкционированных организаций отдыха детей и их оздоровления (</w:t>
      </w:r>
      <w:hyperlink r:id="rId7" w:history="1">
        <w:r>
          <w:rPr>
            <w:color w:val="0000FF"/>
          </w:rPr>
          <w:t>письмо</w:t>
        </w:r>
      </w:hyperlink>
      <w:r>
        <w:t xml:space="preserve"> Министерства образования и науки Российской Федерации от 6 февраля 2018 г. N ПЗ-195/09);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О направлении методических рекомендаций по вопросам безопасности отдыха и оздоровления детей в организациях отдыха детей и их оздоровления, в том числе безопасности перевозок детей в организации отдыха детей и их оздоровления и обратно (</w:t>
      </w:r>
      <w:hyperlink r:id="rId8" w:history="1">
        <w:r>
          <w:rPr>
            <w:color w:val="0000FF"/>
          </w:rPr>
          <w:t>письмо</w:t>
        </w:r>
      </w:hyperlink>
      <w:r>
        <w:t xml:space="preserve"> Министерства образования и науки Российской Федерации от 10 мая 2018 г. N ПЗ-719/09);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О направлении разъяснений Минобрнауки России, Минздрава России и Роспотребнадзора по вопросу оформления медицинских книжек лицами, поступающими на работу в организации отдыха детей и их оздоровления (</w:t>
      </w:r>
      <w:hyperlink r:id="rId9" w:history="1">
        <w:r>
          <w:rPr>
            <w:color w:val="0000FF"/>
          </w:rPr>
          <w:t>письмо</w:t>
        </w:r>
      </w:hyperlink>
      <w:r>
        <w:t xml:space="preserve"> Министерства образования и науки Российской Федерации от 4 мая 2018 г. N Пз-685/09);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О направлении разъяснений по вопросу об оформлении трудовых отношений с педагогическими, медицинскими работниками, вожатыми и руководителями организаций отдыха детей и их оздоровления, в том числе по совместительству (письмо Минпросвещения России от 16 июня 2019 г. N Пз-741/06);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О направлении учебного пособия для лиц, обязанных и (или) имеющих право оказывать первую помощь (письмо Минпросвещения России от 17 июня 2019 г. N 06-588);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О направлении методических рекомендаций по основам информационной безопасности детей, находящихся в организациях отдыха детей и их оздоровления (</w:t>
      </w:r>
      <w:hyperlink r:id="rId10" w:history="1">
        <w:r>
          <w:rPr>
            <w:color w:val="0000FF"/>
          </w:rPr>
          <w:t>письмо</w:t>
        </w:r>
      </w:hyperlink>
      <w:r>
        <w:t xml:space="preserve"> Министерства цифрового развития, связи и массовых коммуникаций Российской Федерации от 30 мая 2019 г. N АВ-П17-062-11826);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О направлении методических рекомендаций по обеспечению организации отдыха и оздоровления детей (</w:t>
      </w:r>
      <w:hyperlink r:id="rId11" w:history="1">
        <w:r>
          <w:rPr>
            <w:color w:val="0000FF"/>
          </w:rPr>
          <w:t>письмо</w:t>
        </w:r>
      </w:hyperlink>
      <w:r>
        <w:t xml:space="preserve"> Минпросвещения России от 25 ноября 2019 г. N Пз-1303/06);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 xml:space="preserve">О направлении методических рекомендаций по созданию и сопровождению деятельности </w:t>
      </w:r>
      <w:r>
        <w:lastRenderedPageBreak/>
        <w:t>межведомственных комиссий по вопросам организации отдыха и оздоровления детей (письмо Минпросвещения России от 2 марта 2020 г. N Пз-300/06);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О методических рекомендациях по проведению профильных смен в организациях отдыха детей и их оздоровления, в том числе для детей, состоящих на различных видах учета в органах и учреждениях системы профилактики безнадзорности и правонарушений несовершеннолетних (</w:t>
      </w:r>
      <w:hyperlink r:id="rId12" w:history="1">
        <w:r>
          <w:rPr>
            <w:color w:val="0000FF"/>
          </w:rPr>
          <w:t>письмо</w:t>
        </w:r>
      </w:hyperlink>
      <w:r>
        <w:t xml:space="preserve"> Минпросвещения России от 26 марта 2020 г. N ДГ-126/06);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О методических рекомендациях по реализации проектов создания и реконструкции детских оздоровительных лагерей в рамках механизма государственно-частного партнерства (письмо Минпросвещения России от 16 октября 2020 г. N 06-1133).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 xml:space="preserve">Кроме того, в уполномоченные органы письмом Минпросвещения России от 1 марта 2021 г. N ДГ-409/06 направлен актуализированный </w:t>
      </w:r>
      <w:hyperlink r:id="rId13" w:history="1">
        <w:r>
          <w:rPr>
            <w:color w:val="0000FF"/>
          </w:rPr>
          <w:t>перечень</w:t>
        </w:r>
      </w:hyperlink>
      <w:r>
        <w:t xml:space="preserve"> основных нормативных правовых актов, необходимых для руководства и использования в работе организациями отдыха детей и их оздоровления (независимо от организационно-правовых форм и форм собственности) при организации отдыха детей и их оздоровления (далее - Перечень НПА).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 xml:space="preserve">Минпросвещения России обращает внимание, что с 1 января 2021 г. в силу вступило в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(зарегистрировано Минюстом России 18 декабря 2020 г., регистрационный N 61573).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 xml:space="preserve">До 1 января 2022 г. продолжают действовать положения временных </w:t>
      </w:r>
      <w:hyperlink r:id="rId15" w:history="1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Российской Федерации от 30 июня 2020 г. N 16 (зарегистрировано Минюстом России 3 июля 2020 г., регистрационный N 58824) (далее - СП 3.1/2.4.3598-20).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 xml:space="preserve">При этом с учетом положительной динамики и улучшения эпидемической ситуации с заболеваемостью новой коронавирусной инфекцией в Российской Федерации в настоящее время постановлением Главного государственного санитарного врача Российской Федерации от 24 марта 2021 г. N 10 приняты </w:t>
      </w:r>
      <w:hyperlink r:id="rId16" w:history="1">
        <w:r>
          <w:rPr>
            <w:color w:val="0000FF"/>
          </w:rPr>
          <w:t>изменения</w:t>
        </w:r>
      </w:hyperlink>
      <w:r>
        <w:t xml:space="preserve"> в </w:t>
      </w:r>
      <w:hyperlink r:id="rId17" w:history="1">
        <w:r>
          <w:rPr>
            <w:color w:val="0000FF"/>
          </w:rPr>
          <w:t>СП 3.1/2.4.3598-20</w:t>
        </w:r>
      </w:hyperlink>
      <w:r>
        <w:t xml:space="preserve"> (зарегистрировано Минюстом России 29 марта 2021 г., регистрационный N 62900), направленные на снижение ранее установленных ограничений.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 xml:space="preserve">Роспотребнадзором также выпущены методические </w:t>
      </w:r>
      <w:hyperlink r:id="rId18" w:history="1">
        <w:r>
          <w:rPr>
            <w:color w:val="0000FF"/>
          </w:rPr>
          <w:t>рекомендации</w:t>
        </w:r>
      </w:hyperlink>
      <w:r>
        <w:t xml:space="preserve"> по организации работы организаций отдыха детей и их оздоровления в условиях сохранения рисков распространения COVID-19 в 2021 году, утвержденные 29 марта 2021 г. N МР 3.1/2.4.0239-21.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 xml:space="preserve">Вместе с тем Министерство обращает внимание, что действие </w:t>
      </w:r>
      <w:hyperlink r:id="rId19" w:history="1">
        <w:r>
          <w:rPr>
            <w:color w:val="0000FF"/>
          </w:rPr>
          <w:t>СП 3.1/2.4.3598-20</w:t>
        </w:r>
      </w:hyperlink>
      <w:r>
        <w:t xml:space="preserve"> не распространяется на прохождение туристских маршрутов и других маршрутов передвижения с участием организованных групп детей, а также туристские мероприятия: походы, экспедиции, слеты.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 xml:space="preserve">Обеспечение противопожарной безопасности осуществляется в том числе с учетом требований </w:t>
      </w:r>
      <w:hyperlink r:id="rId20" w:history="1">
        <w:r>
          <w:rPr>
            <w:color w:val="0000FF"/>
          </w:rPr>
          <w:t>Правил</w:t>
        </w:r>
      </w:hyperlink>
      <w:r>
        <w:t xml:space="preserve"> противопожарного режима в Российской Федерации, утвержденных постановлением Правительства Российской Федерации от 16 сентября 2020 г. N 1479, вступивших в силу с 1 января 2021 г., в том числе </w:t>
      </w:r>
      <w:hyperlink r:id="rId21" w:history="1">
        <w:r>
          <w:rPr>
            <w:color w:val="0000FF"/>
          </w:rPr>
          <w:t>раздела XXII</w:t>
        </w:r>
      </w:hyperlink>
      <w:r>
        <w:t xml:space="preserve"> "Организация отдыха детей и их оздоровления, где размещение детей осуществляется в палатках и иных некапитальных строениях, предназначенных для проживания детей", а также </w:t>
      </w:r>
      <w:hyperlink r:id="rId22" w:history="1">
        <w:r>
          <w:rPr>
            <w:color w:val="0000FF"/>
          </w:rPr>
          <w:t>Правил</w:t>
        </w:r>
      </w:hyperlink>
      <w:r>
        <w:t xml:space="preserve"> пользования пляжами в Российской </w:t>
      </w:r>
      <w:r>
        <w:lastRenderedPageBreak/>
        <w:t>Федерации, утвержденных приказом МЧС России от 30 сентября 2020 г. N 732 (зарегистрирован Минюстом России 28 октября 2020 г., регистрационный N 60609).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 xml:space="preserve">С 1 января 2021 года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сентября 2020 г. N 1527 "Об утверждении Правил организованной перевозки группы детей автобусами" введены новые требования к организованной перевозке группы детей автобусами в городском, пригородном и междугородном сообщении.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 xml:space="preserve">Приказами Росстандарта от 10 февраля 2021 г. </w:t>
      </w:r>
      <w:hyperlink r:id="rId24" w:history="1">
        <w:r>
          <w:rPr>
            <w:color w:val="0000FF"/>
          </w:rPr>
          <w:t>N 67-ст</w:t>
        </w:r>
      </w:hyperlink>
      <w:r>
        <w:t xml:space="preserve"> и от 10 февраля 2021 г. </w:t>
      </w:r>
      <w:hyperlink r:id="rId25" w:history="1">
        <w:r>
          <w:rPr>
            <w:color w:val="0000FF"/>
          </w:rPr>
          <w:t>N 66-ст</w:t>
        </w:r>
      </w:hyperlink>
      <w:r>
        <w:t xml:space="preserve"> утверждены вступившие в силу с 1 марта 2021 г. изменения в </w:t>
      </w:r>
      <w:hyperlink r:id="rId26" w:history="1">
        <w:r>
          <w:rPr>
            <w:color w:val="0000FF"/>
          </w:rPr>
          <w:t>ОКПД 2</w:t>
        </w:r>
      </w:hyperlink>
      <w:r>
        <w:t xml:space="preserve"> (Общероссийский классификатор продукции по видам экономической деятельности) и </w:t>
      </w:r>
      <w:hyperlink r:id="rId27" w:history="1">
        <w:r>
          <w:rPr>
            <w:color w:val="0000FF"/>
          </w:rPr>
          <w:t>ОКВЭД 2</w:t>
        </w:r>
      </w:hyperlink>
      <w:r>
        <w:t xml:space="preserve"> (Общероссийский классификатор видов экономической деятельности), включающие в указанные перечни деятельность по организации отдыха и оздоровления детей.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При подготовке к проведению оздоровительной кампании 2021 года уполномоченным органам необходимо: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обеспечить максимальный охват детей организованными формами отдыха, в том числе детей, находящихся в трудной жизненной ситуации, детей медицинских работников и иных лиц, работающих в усиленном режиме и оказывающих помощь гражданам, у которых была выявлена новая коронавирусная инфекция; детей, чьи родители (законные представители) потеряли работу в связи со вспышкой новой коронавирусной инфекции;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предусмотреть в бюджетах субъектов Российской Федерации и местных бюджетах бюджетные ассигнования на проведение мероприятий по обеспечению отдыха и оздоровления детей не ниже объемов, направленных на данные цели в предыдущие годы (с учетом увеличения охвата детей отдыхом и оздоровлением, в том числе детей, находящихся в трудной жизненной ситуации), а также на развитие инфраструктуры организаций отдыха детей и их оздоровления, включая создание условий для отдыха и оздоровления детей-инвалидов и детей с ограниченными возможностями здоровья;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принять меры по устранению нарушений законодательства Российской Федерации в сфере организации отдыха и оздоровления детей, выявленных при проведении проверок территориальными органами Роспотребнадзора, МЧС России, Роструда, Росздравнадзора, Ространснадзора, органами прокуратуры Российской Федерации;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задействовать потенциал организаций дополнительного образования детей и иных образовательных организаций, учреждений культуры и спорта по месту жительства в целях обеспечения занятости детей в каникулярный период времени;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предусмотреть включение воспитательного компонента в реализуемые организациями отдыха детей и их оздоровления программы, в том числе с учетом примерной программы воспитания для общеобразовательных организаций;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оказать содействие подросткам в трудоустройстве в каникулярный период времени;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продолжать организацию работы "горячих линий" по вопросам детского отдыха;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незамедлительно информировать Минпросвещения России о всех несчастных случаях с детьми во время их организованного отдыха;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своевременно осуществлять представление сведений в рамках мониторинга оздоровительной кампании 2021 года, осуществляемого Минпросвещения России;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 xml:space="preserve">осуществлять межрегиональное взаимодействие при направлении детей в организации отдыха детей и их оздоровления, находящиеся за пределами субъекта Российской Федерации, в </w:t>
      </w:r>
      <w:r>
        <w:lastRenderedPageBreak/>
        <w:t>соответствии с соглашением, заключенным между органами исполнительной власти различных субъектов Российской Федерации, в том числе по вопросам санитарно-эпидемиологической ситуации в регионах заезда и выезда детей, связанной с распространением новой коронавирусной инфекции (COVID-19);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обеспечить информирование родителей (законных представителей) ребенка, в том числе на собраниях в общеобразовательных организациях перед началом каникулярного периода времени о необходимости проверки при направлении ребенка в организацию отдыха детей и их оздоровления информации об организации отдыха детей и их оздоровления в реестре организаций отдыха детей и их оздоровления (далее - реестр), размещенном на сайте уполномоченного органа, а также о необходимости соблюдения ребенком мер безопасности в каникулярный период времени, в том числе на водных объектах;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проработать вопрос о повышении квалификации педагогических работников и вожатых организаций отдыха детей и их оздоровления, в том числе с использованием дистанционных образовательных технологий;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привести региональные нормативные правовые акты в соответствие с действующим законодательством Российской Федерации;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обеспечить размещение на официальном сайте уполномоченного органа в сети "Интернет":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актуализированного реестра;</w:t>
      </w:r>
    </w:p>
    <w:p w:rsidR="004A3A9F" w:rsidRDefault="004A3A9F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перечня</w:t>
        </w:r>
      </w:hyperlink>
      <w:r>
        <w:t xml:space="preserve"> НПА;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сведений об организациях, осуществляющих подготовку вожатых;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сведений о численности сотрудников организаций отдыха детей и их оздоровления, прошедших обучение по основам оказания первой помощи;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порядка подбора и направления детей в организации отдыха детей и их оздоровления, в том числе детей, находящихся в трудной жизненной ситуации;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порядка компенсации стоимости путевки в организации отдыха детей и их оздоровления, а также контактных данных органов исполнительной власти субъектов Российской Федерации, осуществляющих выплату указанных компенсаций;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иной информации, касающейся организации отдыха детей и их оздоровления в субъекте Российской Федерации.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Отдельно в целях развития инфраструктуры организаций отдыха детей и их оздоровления, а также оказания мер поддержки указанным организациям уполномоченным органам необходимо: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принять исчерпывающие меры по недопущению закрытия, перепрофилирования организаций отдыха детей и их оздоровления;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проинформировать руководителей организаций отдыха детей и их оздоровления Российской Федерации о существующих мерах государственной поддержки организаций отдыха детей и их оздоровления, разработанных на федеральном и региональном уровнях;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 xml:space="preserve">определить ставку налога на имущество организаций отдыха детей и их оздоровления в отношении имущества, используемого ими для осуществления отдыха и оздоровления детей, в пределах, установленных Налоговым </w:t>
      </w:r>
      <w:hyperlink r:id="rId29" w:history="1">
        <w:r>
          <w:rPr>
            <w:color w:val="0000FF"/>
          </w:rPr>
          <w:t>кодексом</w:t>
        </w:r>
      </w:hyperlink>
      <w:r>
        <w:t>, а также порядок и сроки его уплаты;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осуществлять контроль за своевременной организацией работ по проведению реконструкции, капитальных и текущих ремонтов организаций отдыха детей и их оздоровления;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lastRenderedPageBreak/>
        <w:t>рассмотреть возможность принятия мер, направленных на: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создание условий для привлечения инвесторов к реализации проектов по модернизации инфраструктуры для отдыха детей и оздоровления с применением механизмов государственно-частного партнерства;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 xml:space="preserve">обеспечить неукоснительное соблюдение показателей, содержащихся в </w:t>
      </w:r>
      <w:hyperlink r:id="rId30" w:history="1">
        <w:r>
          <w:rPr>
            <w:color w:val="0000FF"/>
          </w:rPr>
          <w:t>мероприятиях 2</w:t>
        </w:r>
      </w:hyperlink>
      <w:r>
        <w:t xml:space="preserve">, </w:t>
      </w:r>
      <w:hyperlink r:id="rId31" w:history="1">
        <w:r>
          <w:rPr>
            <w:color w:val="0000FF"/>
          </w:rPr>
          <w:t>3</w:t>
        </w:r>
      </w:hyperlink>
      <w:r>
        <w:t xml:space="preserve">, </w:t>
      </w:r>
      <w:hyperlink r:id="rId32" w:history="1">
        <w:r>
          <w:rPr>
            <w:color w:val="0000FF"/>
          </w:rPr>
          <w:t>4</w:t>
        </w:r>
      </w:hyperlink>
      <w:r>
        <w:t xml:space="preserve"> ведомственной целевой программы "Развитие сферы отдыха и оздоровления детей", утвержденной распоряжением Минпросвещения России от 28 ноября 2019 г. N 121-р, государственной </w:t>
      </w:r>
      <w:hyperlink r:id="rId33" w:history="1">
        <w:r>
          <w:rPr>
            <w:color w:val="0000FF"/>
          </w:rPr>
          <w:t>программы</w:t>
        </w:r>
      </w:hyperlink>
      <w:r>
        <w:t xml:space="preserve"> "Развитие образования", утвержденной постановлением Правительства Российской Федерации от 26 декабря 2017 г. N 1642, и, в случае их недостижения, представлять в Минпросвещения России пояснение с обоснованием причин;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поддержку деятельности организаций отдыха детей и их оздоровления вне зависимости от форм собственности;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установление механизмов компенсации родителям (законным представителям) детей, самостоятельно приобретающим путевки в организации отдыха детей и их оздоровления, включая возможность оформления и получения родителями (законными представителями) детей путевок для детей по месту работы, а также возмещения расходов работодателям, финансирующим отдых и оздоровление детей своих сотрудников, на приобретение путевок в организации отдыха детей и их оздоровления, расположенные не только на территории проживания ребенка, но и за ее пределами;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распространение условий налогообложения муниципальных и государственных учреждений, осуществляющих услуги по отдыху и оздоровлению детей, на организации отдыха детей и их оздоровления независимо от форм собственности и ведомственной принадлежности;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установление льгот по земельному налогу и арендным платежам на земельные участки, налогу на имущество, установление единых тарифов на оплату электроэнергии организациям, имеющим на балансе организации отдыха детей и их оздоровления.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На заседаниях МВК субъектов Российской Федерации необходимо обеспечить рассмотрение следующих вопросов: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решение о начале оздоровительной кампании с учетом санитарно-эпидемиологической обстановки в регионе, включая вопросы возможности приема детей из других субъектов Российской Федерации и отправки детей за пределы региона, а также функционирования палаточных лагерей;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актуализация реестров и проверка сведений путем межведомственного взаимодействия;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разработка плана оперативных мероприятий с учетом компетенции членов межведомственной комиссии по организации отдыха детей и их оздоровления, направленных на предотвращение непосредственной угрозы жизни и здоровья детей и работников организации отдыха детей и их оздоровления и защите их прав, в случае закрытия несанкционированной организации отдыха детей и их оздоровления;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разработка алгоритма организации медицинской помощи и маршрутизации больных из детских лагерей на территории региона в медицинские организации инфекционного профиля или перепрофилированные организации для оказания медицинской помощи, функционирующие в режиме инфекционного стационара, для госпитализации детей (с учетом планируемой наполняемости) и сотрудников в случае осложнения эпидемической ситуации, а также рассмотреть вопрос резервного коечного фонда для организации обсервации;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 xml:space="preserve">определение в субъекте Российской Федерации "пилотной" организации отдыха детей и их </w:t>
      </w:r>
      <w:r>
        <w:lastRenderedPageBreak/>
        <w:t>оздоровления для проведения инклюзивных смен для детей с ограниченными возможностями здоровья и детей-инвалидов;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оказание содействия организациям отдыха детей и их оздоровления в работе по изменению кодов экономической деятельности;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оказание мер поддержки организациям отдыха детей и их оздоровления, а также организациям, задействованным в целях обеспечения занятости детей в каникулярный период, включая содействие в вопросе обеспечения обеззараживателями воздуха, бесконтактными термометрами и дезинфицирующими средствами, а также в вопросе охвата лабораторными исследованиями;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усиление контроля за укомплектованностью организаций отдыха детей и их оздоровления квалифицированными медицинскими и педагогическими работниками, вожатыми, не имеющими установленных законодательством Российской Федерации ограничений на занятие соответствующей трудовой деятельностью, а также прошедшими обязательные предварительные медицинские осмотры и периодические медицинские осмотры (обследования);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усиление контроля за выявлением несанкционированных организаций отдыха детей и их оздоровления;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усиление контроля за подготовкой организаций отдыха детей и их оздоровления к оздоровительной кампании, включая соответствие организаций отдыха детей и их оздоровления санитарно-эпидемиологическому и трудовому законодательству Российской Федерации, требованиям антитеррористической и противопожарной безопасности, а также реализацию профилактических мероприятий, обеспечивающих: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актуализацию перечня организаций отдыха детей и их оздоровления, подверженных угрозе природных пожаров;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создание и функционирование добровольных пожарных дружин и команд в каждой организации отдыха детей и их оздоровления;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создание необходимых противопожарных разрывов и минерализованных полос установленной ширины на всей протяженности границы организации отдыха детей и их оздоровления;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очистку территории организации отдыха детей и их оздоровления от горючих отходов, мусора, сухой травы и тополиного пуха;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бесперебойную работу телефонных номеров для передачи сообщений о пожарах и чрезвычайных ситуациях;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возможность использования для целей пожаротушения источников наружного противопожарного водоснабжения (пожарные гидранты, реки, озера, пруды, бассейны и т.п.);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подготовку открытых водных объектов и пляжей для отдыха и купания детей, а также обучение мерам безопасности на воде;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надлежащее функционирование автоматической пожарной сигнализации и систем оповещения и управления эвакуацией, а также заключение договоров с организациями на их обслуживание;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необходимое количество и надлежащее состояние путей эвакуации;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 xml:space="preserve">обучение сотрудников организаций отдыха детей и их оздоровления мерам пожарной </w:t>
      </w:r>
      <w:r>
        <w:lastRenderedPageBreak/>
        <w:t>безопасности;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наличие необходимого количества исправных первичных средств пожаротушения;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проведение практической отработки регламента взаимодействия всех экстренных оперативных служб при возникновении чрезвычайных ситуаций с администрацией, а также дежурным персоналом организаций отдыха детей и их оздоровления;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выставление временных постов, оснащенных мобильными средствами пожаротушения на объектах отдыха детей и их оздоровления, расположенных на значительном удалении от мест дислокации пожарных подразделений;</w:t>
      </w:r>
    </w:p>
    <w:p w:rsidR="004A3A9F" w:rsidRDefault="004A3A9F">
      <w:pPr>
        <w:pStyle w:val="ConsPlusNormal"/>
        <w:spacing w:before="220"/>
        <w:ind w:firstLine="540"/>
        <w:jc w:val="both"/>
      </w:pPr>
      <w:r>
        <w:t>соблюдение государственных нормативных требований охраны труда.</w:t>
      </w:r>
    </w:p>
    <w:p w:rsidR="004A3A9F" w:rsidRDefault="004A3A9F">
      <w:pPr>
        <w:pStyle w:val="ConsPlusNormal"/>
        <w:jc w:val="both"/>
      </w:pPr>
    </w:p>
    <w:p w:rsidR="004A3A9F" w:rsidRDefault="004A3A9F">
      <w:pPr>
        <w:pStyle w:val="ConsPlusNormal"/>
        <w:jc w:val="both"/>
      </w:pPr>
    </w:p>
    <w:p w:rsidR="004A3A9F" w:rsidRDefault="004A3A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640F" w:rsidRDefault="009F640F">
      <w:bookmarkStart w:id="0" w:name="_GoBack"/>
      <w:bookmarkEnd w:id="0"/>
    </w:p>
    <w:sectPr w:rsidR="009F640F" w:rsidSect="007F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9F"/>
    <w:rsid w:val="0037699B"/>
    <w:rsid w:val="0038724E"/>
    <w:rsid w:val="003D1DF7"/>
    <w:rsid w:val="004A3A9F"/>
    <w:rsid w:val="0060172E"/>
    <w:rsid w:val="0065756B"/>
    <w:rsid w:val="008644AE"/>
    <w:rsid w:val="00882729"/>
    <w:rsid w:val="009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3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3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3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3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8BA6E9A4A7F23B021FD8E9266605DED60A094B975D4733235950978B20779D97FAC33988D11DCBCB48D26BE0F49E" TargetMode="External"/><Relationship Id="rId13" Type="http://schemas.openxmlformats.org/officeDocument/2006/relationships/hyperlink" Target="consultantplus://offline/ref=BEB8BA6E9A4A7F23B021FD8E9266605DEC61A99EBC7DD4733235950978B20779CB7FF43F9A8B0FDCBFA1DB77F8ADC422CCF213BBFDD7B02D0E46E" TargetMode="External"/><Relationship Id="rId18" Type="http://schemas.openxmlformats.org/officeDocument/2006/relationships/hyperlink" Target="consultantplus://offline/ref=BEB8BA6E9A4A7F23B021FD8E9266605DEC61A894BE74D4733235950978B20779D97FAC33988D11DCBCB48D26BE0F49E" TargetMode="External"/><Relationship Id="rId26" Type="http://schemas.openxmlformats.org/officeDocument/2006/relationships/hyperlink" Target="consultantplus://offline/ref=BEB8BA6E9A4A7F23B021FD8E9266605DEC61AA9AB977D4733235950978B20779D97FAC33988D11DCBCB48D26BE0F49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B8BA6E9A4A7F23B021FD8E9266605DEC6EAB9AB372D4733235950978B20779CB7FF43F9A8A0FD5BEA1DB77F8ADC422CCF213BBFDD7B02D0E46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EB8BA6E9A4A7F23B021EA8C8066605DE868AE9BB377D4733235950978B20779D97FAC33988D11DCBCB48D26BE0F49E" TargetMode="External"/><Relationship Id="rId12" Type="http://schemas.openxmlformats.org/officeDocument/2006/relationships/hyperlink" Target="consultantplus://offline/ref=BEB8BA6E9A4A7F23B021FD8E9266605DEC6CAD9EB972D4733235950978B20779D97FAC33988D11DCBCB48D26BE0F49E" TargetMode="External"/><Relationship Id="rId17" Type="http://schemas.openxmlformats.org/officeDocument/2006/relationships/hyperlink" Target="consultantplus://offline/ref=BEB8BA6E9A4A7F23B021FD8E9266605DEC61A894BA76D4733235950978B20779CB7FF43F9A8B0FDDBBA1DB77F8ADC422CCF213BBFDD7B02D0E46E" TargetMode="External"/><Relationship Id="rId25" Type="http://schemas.openxmlformats.org/officeDocument/2006/relationships/hyperlink" Target="consultantplus://offline/ref=BEB8BA6E9A4A7F23B021FD8E9266605DEC6EA09CB375D4733235950978B20779D97FAC33988D11DCBCB48D26BE0F49E" TargetMode="External"/><Relationship Id="rId33" Type="http://schemas.openxmlformats.org/officeDocument/2006/relationships/hyperlink" Target="consultantplus://offline/ref=BEB8BA6E9A4A7F23B021FD8E9266605DEC6EA195BE77D4733235950978B20779CB7FF43F9A8B0FDDB1A1DB77F8ADC422CCF213BBFDD7B02D0E46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B8BA6E9A4A7F23B021FD8E9266605DEC61A89BB870D4733235950978B20779CB7FF43F9A8B0FDDB9A1DB77F8ADC422CCF213BBFDD7B02D0E46E" TargetMode="External"/><Relationship Id="rId20" Type="http://schemas.openxmlformats.org/officeDocument/2006/relationships/hyperlink" Target="consultantplus://offline/ref=BEB8BA6E9A4A7F23B021FD8E9266605DEC6EAB9AB372D4733235950978B20779CB7FF43F9A8B0FDCB1A1DB77F8ADC422CCF213BBFDD7B02D0E46E" TargetMode="External"/><Relationship Id="rId29" Type="http://schemas.openxmlformats.org/officeDocument/2006/relationships/hyperlink" Target="consultantplus://offline/ref=BEB8BA6E9A4A7F23B021FD8E9266605DEC6EAF9FBC7CD4733235950978B20779D97FAC33988D11DCBCB48D26BE0F4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B8BA6E9A4A7F23B021FD8E9266605DEC61A998BE70D4733235950978B20779CB7FF43F9A8B0DDCB8A1DB77F8ADC422CCF213BBFDD7B02D0E46E" TargetMode="External"/><Relationship Id="rId11" Type="http://schemas.openxmlformats.org/officeDocument/2006/relationships/hyperlink" Target="consultantplus://offline/ref=BEB8BA6E9A4A7F23B021FD8E9266605DEC6AA198B976D4733235950978B20779D97FAC33988D11DCBCB48D26BE0F49E" TargetMode="External"/><Relationship Id="rId24" Type="http://schemas.openxmlformats.org/officeDocument/2006/relationships/hyperlink" Target="consultantplus://offline/ref=BEB8BA6E9A4A7F23B021FD8E9266605DEC6EA09FBA7DD4733235950978B20779D97FAC33988D11DCBCB48D26BE0F49E" TargetMode="External"/><Relationship Id="rId32" Type="http://schemas.openxmlformats.org/officeDocument/2006/relationships/hyperlink" Target="consultantplus://offline/ref=BEB8BA6E9A4A7F23B021FD8E9266605DEC6CAB9DB976D4733235950978B20779CB7FF43F9A8B0ED5B9A1DB77F8ADC422CCF213BBFDD7B02D0E46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EB8BA6E9A4A7F23B021FD8E9266605DEC61A894BA76D4733235950978B20779CB7FF43F9A8B0FDDBBA1DB77F8ADC422CCF213BBFDD7B02D0E46E" TargetMode="External"/><Relationship Id="rId23" Type="http://schemas.openxmlformats.org/officeDocument/2006/relationships/hyperlink" Target="consultantplus://offline/ref=BEB8BA6E9A4A7F23B021FD8E9266605DEC6FAB9FBF7DD4733235950978B20779CB7FF43F9A8B0FDDB8A1DB77F8ADC422CCF213BBFDD7B02D0E46E" TargetMode="External"/><Relationship Id="rId28" Type="http://schemas.openxmlformats.org/officeDocument/2006/relationships/hyperlink" Target="consultantplus://offline/ref=BEB8BA6E9A4A7F23B021FD8E9266605DEC61A99EBC7DD4733235950978B20779CB7FF43F9A8B0FDCBFA1DB77F8ADC422CCF213BBFDD7B02D0E46E" TargetMode="External"/><Relationship Id="rId10" Type="http://schemas.openxmlformats.org/officeDocument/2006/relationships/hyperlink" Target="consultantplus://offline/ref=BEB8BA6E9A4A7F23B021EA8C8066605DE86BA09CBE77D4733235950978B20779D97FAC33988D11DCBCB48D26BE0F49E" TargetMode="External"/><Relationship Id="rId19" Type="http://schemas.openxmlformats.org/officeDocument/2006/relationships/hyperlink" Target="consultantplus://offline/ref=BEB8BA6E9A4A7F23B021FD8E9266605DEC61A894BA76D4733235950978B20779CB7FF43F9A8B0FDDB0A1DB77F8ADC422CCF213BBFDD7B02D0E46E" TargetMode="External"/><Relationship Id="rId31" Type="http://schemas.openxmlformats.org/officeDocument/2006/relationships/hyperlink" Target="consultantplus://offline/ref=BEB8BA6E9A4A7F23B021FD8E9266605DEC6CAB9DB976D4733235950978B20779CB7FF43F9A8B0ED4BCA1DB77F8ADC422CCF213BBFDD7B02D0E4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B8BA6E9A4A7F23B021FD8E9266605DEC69A99CB875D4733235950978B20779D97FAC33988D11DCBCB48D26BE0F49E" TargetMode="External"/><Relationship Id="rId14" Type="http://schemas.openxmlformats.org/officeDocument/2006/relationships/hyperlink" Target="consultantplus://offline/ref=BEB8BA6E9A4A7F23B021FD8E9266605DEC6EA999B370D4733235950978B20779CB7FF43F9A8B0FD9B8A1DB77F8ADC422CCF213BBFDD7B02D0E46E" TargetMode="External"/><Relationship Id="rId22" Type="http://schemas.openxmlformats.org/officeDocument/2006/relationships/hyperlink" Target="consultantplus://offline/ref=BEB8BA6E9A4A7F23B021E3958766605DEC6FAE9EBC75D4733235950978B20779CB7FF43F9A8B0FDDBCA1DB77F8ADC422CCF213BBFDD7B02D0E46E" TargetMode="External"/><Relationship Id="rId27" Type="http://schemas.openxmlformats.org/officeDocument/2006/relationships/hyperlink" Target="consultantplus://offline/ref=BEB8BA6E9A4A7F23B021FD8E9266605DEC61AA9ABE77D4733235950978B20779D97FAC33988D11DCBCB48D26BE0F49E" TargetMode="External"/><Relationship Id="rId30" Type="http://schemas.openxmlformats.org/officeDocument/2006/relationships/hyperlink" Target="consultantplus://offline/ref=BEB8BA6E9A4A7F23B021FD8E9266605DEC6CAB9DB976D4733235950978B20779CB7FF43F9A8B0EDABDA1DB77F8ADC422CCF213BBFDD7B02D0E46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3475</Words>
  <Characters>19811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Лесовская Римма Ахатовна</dc:creator>
  <cp:lastModifiedBy>Лесовская Римма Ахатовна</cp:lastModifiedBy>
  <cp:revision>1</cp:revision>
  <dcterms:created xsi:type="dcterms:W3CDTF">2021-04-26T04:56:00Z</dcterms:created>
  <dcterms:modified xsi:type="dcterms:W3CDTF">2021-04-26T04:57:00Z</dcterms:modified>
</cp:coreProperties>
</file>